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D675" w14:textId="77777777" w:rsidR="00EA0A3C" w:rsidRPr="0069654B" w:rsidRDefault="00EA0A3C" w:rsidP="00EA0A3C">
      <w:pPr>
        <w:pStyle w:val="Titolo3"/>
        <w:shd w:val="clear" w:color="auto" w:fill="FFFFFF"/>
        <w:spacing w:before="0" w:after="225"/>
        <w:rPr>
          <w:rFonts w:ascii="Verdana" w:hAnsi="Verdana"/>
          <w:color w:val="auto"/>
          <w:lang w:eastAsia="it-IT"/>
        </w:rPr>
      </w:pPr>
      <w:bookmarkStart w:id="0" w:name="_Hlk128860897"/>
      <w:r w:rsidRPr="009012AD">
        <w:rPr>
          <w:rFonts w:ascii="Raleway" w:hAnsi="Raleway"/>
          <w:b/>
          <w:bCs/>
          <w:color w:val="auto"/>
          <w:sz w:val="28"/>
          <w:szCs w:val="28"/>
        </w:rPr>
        <w:t xml:space="preserve">Il </w:t>
      </w:r>
      <w:r w:rsidRPr="0069654B">
        <w:rPr>
          <w:rFonts w:ascii="Verdana" w:hAnsi="Verdana"/>
          <w:b/>
          <w:bCs/>
          <w:color w:val="auto"/>
        </w:rPr>
        <w:t>controllo del peso nei prodotti preconfezionati</w:t>
      </w:r>
    </w:p>
    <w:p w14:paraId="4048B10F" w14:textId="77777777" w:rsidR="009012AD" w:rsidRPr="0069654B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Fonts w:ascii="Verdana" w:hAnsi="Verdana" w:cs="Open Sans"/>
          <w:spacing w:val="2"/>
        </w:rPr>
        <w:t xml:space="preserve">Avete mai avuto il dubbio che un prodotto pesasse meno della quantità dichiarata in etichetta? </w:t>
      </w:r>
    </w:p>
    <w:p w14:paraId="0AA0BDC5" w14:textId="5C5D30C2" w:rsidR="009012AD" w:rsidRPr="0069654B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Fonts w:ascii="Verdana" w:hAnsi="Verdana" w:cs="Open Sans"/>
          <w:spacing w:val="2"/>
        </w:rPr>
        <w:t xml:space="preserve">O meglio, avete provato a pesare un prodotto e avete notato che il peso non corrispondeva con quello </w:t>
      </w:r>
      <w:r w:rsidR="009012AD" w:rsidRPr="0069654B">
        <w:rPr>
          <w:rFonts w:ascii="Verdana" w:hAnsi="Verdana" w:cs="Open Sans"/>
          <w:spacing w:val="2"/>
        </w:rPr>
        <w:t>riportato sulla confezione</w:t>
      </w:r>
      <w:r w:rsidRPr="0069654B">
        <w:rPr>
          <w:rFonts w:ascii="Verdana" w:hAnsi="Verdana" w:cs="Open Sans"/>
          <w:spacing w:val="2"/>
        </w:rPr>
        <w:t xml:space="preserve"> da</w:t>
      </w:r>
      <w:r w:rsidR="009012AD" w:rsidRPr="0069654B">
        <w:rPr>
          <w:rFonts w:ascii="Verdana" w:hAnsi="Verdana" w:cs="Open Sans"/>
          <w:spacing w:val="2"/>
        </w:rPr>
        <w:t xml:space="preserve"> parte de</w:t>
      </w:r>
      <w:r w:rsidRPr="0069654B">
        <w:rPr>
          <w:rFonts w:ascii="Verdana" w:hAnsi="Verdana" w:cs="Open Sans"/>
          <w:spacing w:val="2"/>
        </w:rPr>
        <w:t xml:space="preserve">l produttore? </w:t>
      </w:r>
    </w:p>
    <w:p w14:paraId="6DC718C6" w14:textId="0E30720A" w:rsidR="00EA0A3C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Fonts w:ascii="Verdana" w:hAnsi="Verdana" w:cs="Open Sans"/>
          <w:spacing w:val="2"/>
        </w:rPr>
        <w:t>Non è detto che siate stati truffati, anzi, è probabile che la vostra bilancia non sia precisa o, come spesso accade, c’è quel piccolo scarto, in più o in meno, che per legge è tollerato.</w:t>
      </w:r>
    </w:p>
    <w:p w14:paraId="7393A293" w14:textId="77777777" w:rsidR="00C37D9F" w:rsidRPr="0069654B" w:rsidRDefault="00C37D9F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</w:p>
    <w:p w14:paraId="0A0E4EB5" w14:textId="78B89DF0" w:rsidR="00EA0A3C" w:rsidRPr="0069654B" w:rsidRDefault="00EA0A3C" w:rsidP="00EA0A3C">
      <w:pPr>
        <w:pStyle w:val="Titolo2"/>
        <w:shd w:val="clear" w:color="auto" w:fill="FFFFFF"/>
        <w:spacing w:before="0" w:after="225"/>
        <w:rPr>
          <w:rFonts w:ascii="Verdana" w:hAnsi="Verdana" w:cs="Times New Roman"/>
          <w:color w:val="auto"/>
          <w:sz w:val="24"/>
          <w:szCs w:val="24"/>
        </w:rPr>
      </w:pPr>
      <w:r w:rsidRPr="0069654B">
        <w:rPr>
          <w:rStyle w:val="Enfasigrassetto"/>
          <w:rFonts w:ascii="Verdana" w:hAnsi="Verdana"/>
          <w:color w:val="auto"/>
          <w:sz w:val="24"/>
          <w:szCs w:val="24"/>
        </w:rPr>
        <w:t>Prodotti preconfezionati e tolleranza nel peso</w:t>
      </w:r>
      <w:r w:rsidR="003F056B" w:rsidRPr="0069654B">
        <w:rPr>
          <w:rStyle w:val="Enfasigrassetto"/>
          <w:rFonts w:ascii="Verdana" w:hAnsi="Verdana"/>
          <w:color w:val="auto"/>
          <w:sz w:val="24"/>
          <w:szCs w:val="24"/>
        </w:rPr>
        <w:t xml:space="preserve"> o del volume</w:t>
      </w:r>
    </w:p>
    <w:p w14:paraId="086E46AF" w14:textId="38100C2C" w:rsidR="009012AD" w:rsidRPr="0069654B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Fonts w:ascii="Verdana" w:hAnsi="Verdana" w:cs="Open Sans"/>
          <w:spacing w:val="2"/>
        </w:rPr>
        <w:t>Cosa si intende per prodotto preconfezionato? </w:t>
      </w:r>
      <w:r w:rsidRPr="0069654B">
        <w:rPr>
          <w:rStyle w:val="Enfasigrassetto"/>
          <w:rFonts w:ascii="Verdana" w:hAnsi="Verdana" w:cs="Open Sans"/>
          <w:spacing w:val="2"/>
        </w:rPr>
        <w:t>Un prodotto è preconfezionato quando è contenuto in un imballaggio di qualsiasi tipo chiuso in assenza dell’acquirente</w:t>
      </w:r>
      <w:r w:rsidRPr="0069654B">
        <w:rPr>
          <w:rFonts w:ascii="Verdana" w:hAnsi="Verdana" w:cs="Open Sans"/>
          <w:spacing w:val="2"/>
        </w:rPr>
        <w:t xml:space="preserve"> e preparato in modo che la quantità del prodotto in esso contenuta abbia un valore prefissato e non possa essere modificata senza aprire o alterare l’imballaggio stesso. </w:t>
      </w:r>
    </w:p>
    <w:p w14:paraId="61EE2315" w14:textId="025EC312" w:rsidR="00EA0A3C" w:rsidRPr="0069654B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Fonts w:ascii="Verdana" w:hAnsi="Verdana" w:cs="Open Sans"/>
          <w:spacing w:val="2"/>
        </w:rPr>
        <w:t>Per i prodotti liquidi il peso va indicato in litri, centilitri o millilitri. Per i prodotti con massa solida in chilogrammi o grammi.</w:t>
      </w:r>
    </w:p>
    <w:p w14:paraId="25BA902A" w14:textId="02572977" w:rsidR="00EA0A3C" w:rsidRPr="0069654B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Fonts w:ascii="Verdana" w:hAnsi="Verdana" w:cs="Open Sans"/>
          <w:spacing w:val="2"/>
        </w:rPr>
        <w:t>La</w:t>
      </w:r>
      <w:r w:rsidRPr="0069654B">
        <w:rPr>
          <w:rStyle w:val="Enfasigrassetto"/>
          <w:rFonts w:ascii="Verdana" w:hAnsi="Verdana" w:cs="Open Sans"/>
          <w:spacing w:val="2"/>
        </w:rPr>
        <w:t> normativa in vigore</w:t>
      </w:r>
      <w:r w:rsidRPr="0069654B">
        <w:rPr>
          <w:rFonts w:ascii="Verdana" w:hAnsi="Verdana" w:cs="Open Sans"/>
          <w:spacing w:val="2"/>
        </w:rPr>
        <w:t> per i prodotti preconfezionati è la: “</w:t>
      </w:r>
      <w:r w:rsidRPr="0069654B">
        <w:rPr>
          <w:rStyle w:val="Enfasigrassetto"/>
          <w:rFonts w:ascii="Verdana" w:hAnsi="Verdana" w:cs="Open Sans"/>
          <w:spacing w:val="2"/>
        </w:rPr>
        <w:t>Legge 25 ottobre 1978, n. 690</w:t>
      </w:r>
      <w:r w:rsidRPr="0069654B">
        <w:rPr>
          <w:rFonts w:ascii="Verdana" w:hAnsi="Verdana" w:cs="Open Sans"/>
          <w:spacing w:val="2"/>
        </w:rPr>
        <w:t>” In attuazione della </w:t>
      </w:r>
      <w:r w:rsidRPr="0069654B">
        <w:rPr>
          <w:rStyle w:val="Enfasigrassetto"/>
          <w:rFonts w:ascii="Verdana" w:hAnsi="Verdana" w:cs="Open Sans"/>
          <w:spacing w:val="2"/>
        </w:rPr>
        <w:t>Direttiva 76/211/CEE</w:t>
      </w:r>
      <w:r w:rsidRPr="0069654B">
        <w:rPr>
          <w:rFonts w:ascii="Verdana" w:hAnsi="Verdana" w:cs="Open Sans"/>
          <w:spacing w:val="2"/>
        </w:rPr>
        <w:t> </w:t>
      </w:r>
      <w:r w:rsidR="009012AD" w:rsidRPr="0069654B">
        <w:rPr>
          <w:rFonts w:ascii="Verdana" w:hAnsi="Verdana" w:cs="Open Sans"/>
          <w:spacing w:val="2"/>
        </w:rPr>
        <w:t>(</w:t>
      </w:r>
      <w:r w:rsidRPr="0069654B">
        <w:rPr>
          <w:rFonts w:ascii="Verdana" w:hAnsi="Verdana" w:cs="Open Sans"/>
          <w:spacing w:val="2"/>
        </w:rPr>
        <w:t>relativa al preco</w:t>
      </w:r>
      <w:r w:rsidR="009012AD" w:rsidRPr="0069654B">
        <w:rPr>
          <w:rFonts w:ascii="Verdana" w:hAnsi="Verdana" w:cs="Open Sans"/>
          <w:spacing w:val="2"/>
        </w:rPr>
        <w:t>nfeziona</w:t>
      </w:r>
      <w:r w:rsidRPr="0069654B">
        <w:rPr>
          <w:rFonts w:ascii="Verdana" w:hAnsi="Verdana" w:cs="Open Sans"/>
          <w:spacing w:val="2"/>
        </w:rPr>
        <w:t>mento in massa o in volume di alcuni prodotti in imballaggi preconfezionati), modificata con la </w:t>
      </w:r>
      <w:r w:rsidRPr="0069654B">
        <w:rPr>
          <w:rStyle w:val="Enfasigrassetto"/>
          <w:rFonts w:ascii="Verdana" w:hAnsi="Verdana" w:cs="Open Sans"/>
          <w:spacing w:val="2"/>
        </w:rPr>
        <w:t>Direttiva 2007/45/CE</w:t>
      </w:r>
      <w:r w:rsidRPr="0069654B">
        <w:rPr>
          <w:rFonts w:ascii="Verdana" w:hAnsi="Verdana" w:cs="Open Sans"/>
          <w:spacing w:val="2"/>
        </w:rPr>
        <w:t>.</w:t>
      </w:r>
    </w:p>
    <w:p w14:paraId="01397121" w14:textId="12B344B0" w:rsidR="00EA0A3C" w:rsidRPr="0069654B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Fonts w:ascii="Verdana" w:hAnsi="Verdana" w:cs="Open Sans"/>
          <w:spacing w:val="2"/>
        </w:rPr>
        <w:t>La </w:t>
      </w:r>
      <w:r w:rsidRPr="0069654B">
        <w:rPr>
          <w:rStyle w:val="Enfasigrassetto"/>
          <w:rFonts w:ascii="Verdana" w:hAnsi="Verdana" w:cs="Open Sans"/>
          <w:spacing w:val="2"/>
        </w:rPr>
        <w:t>tabella delle tolleranze</w:t>
      </w:r>
      <w:r w:rsidRPr="0069654B">
        <w:rPr>
          <w:rFonts w:ascii="Verdana" w:hAnsi="Verdana" w:cs="Open Sans"/>
          <w:spacing w:val="2"/>
        </w:rPr>
        <w:t> </w:t>
      </w:r>
      <w:r w:rsidR="009012AD" w:rsidRPr="0069654B">
        <w:rPr>
          <w:rFonts w:ascii="Verdana" w:hAnsi="Verdana" w:cs="Open Sans"/>
          <w:spacing w:val="2"/>
        </w:rPr>
        <w:t xml:space="preserve">è prevista dal </w:t>
      </w:r>
      <w:r w:rsidR="00DE542B" w:rsidRPr="0069654B">
        <w:rPr>
          <w:rFonts w:ascii="Verdana" w:hAnsi="Verdana" w:cs="Open Sans"/>
          <w:spacing w:val="2"/>
        </w:rPr>
        <w:t>DPR 26 maggio 1980 n. 391</w:t>
      </w:r>
      <w:r w:rsidR="009012AD" w:rsidRPr="0069654B">
        <w:rPr>
          <w:rFonts w:ascii="Verdana" w:hAnsi="Verdana" w:cs="Open Sans"/>
          <w:spacing w:val="2"/>
        </w:rPr>
        <w:t>ed è la seguente:</w:t>
      </w:r>
    </w:p>
    <w:p w14:paraId="76BF816B" w14:textId="2BD4CD6C" w:rsidR="003F056B" w:rsidRPr="0069654B" w:rsidRDefault="003F056B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</w:p>
    <w:p w14:paraId="1DD98346" w14:textId="099A6373" w:rsidR="003F056B" w:rsidRPr="0069654B" w:rsidRDefault="003F056B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</w:p>
    <w:p w14:paraId="02E5DBE8" w14:textId="446793A4" w:rsidR="009012AD" w:rsidRDefault="009012AD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</w:p>
    <w:p w14:paraId="5497E1C1" w14:textId="61BC8785" w:rsidR="00600172" w:rsidRPr="00600172" w:rsidRDefault="00600172" w:rsidP="00600172">
      <w:pPr>
        <w:tabs>
          <w:tab w:val="left" w:pos="2415"/>
        </w:tabs>
        <w:rPr>
          <w:lang w:eastAsia="it-IT"/>
        </w:rPr>
      </w:pPr>
      <w:r>
        <w:rPr>
          <w:lang w:eastAsia="it-IT"/>
        </w:rPr>
        <w:tab/>
      </w:r>
    </w:p>
    <w:p w14:paraId="13B5B89C" w14:textId="09363357" w:rsidR="00EA0A3C" w:rsidRPr="0069654B" w:rsidRDefault="00EA0A3C" w:rsidP="00EA0A3C">
      <w:pPr>
        <w:pStyle w:val="NormaleWeb"/>
        <w:shd w:val="clear" w:color="auto" w:fill="FFFFFF"/>
        <w:spacing w:before="0" w:beforeAutospacing="0" w:after="300" w:afterAutospacing="0" w:line="390" w:lineRule="atLeast"/>
        <w:rPr>
          <w:rFonts w:ascii="Verdana" w:hAnsi="Verdana" w:cs="Open Sans"/>
          <w:spacing w:val="2"/>
        </w:rPr>
      </w:pPr>
      <w:r w:rsidRPr="0069654B">
        <w:rPr>
          <w:rStyle w:val="Enfasigrassetto"/>
          <w:rFonts w:ascii="Verdana" w:hAnsi="Verdana" w:cs="Open Sans"/>
          <w:spacing w:val="2"/>
        </w:rPr>
        <w:lastRenderedPageBreak/>
        <w:t>Peso in grammi o milli</w:t>
      </w:r>
      <w:r w:rsidR="009012AD" w:rsidRPr="0069654B">
        <w:rPr>
          <w:rStyle w:val="Enfasigrassetto"/>
          <w:rFonts w:ascii="Verdana" w:hAnsi="Verdana" w:cs="Open Sans"/>
          <w:spacing w:val="2"/>
        </w:rPr>
        <w:t>litri</w:t>
      </w:r>
    </w:p>
    <w:p w14:paraId="3D78064D" w14:textId="2779A138" w:rsidR="00EA0A3C" w:rsidRPr="0069654B" w:rsidRDefault="00EA0A3C" w:rsidP="00EA0A3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75" w:lineRule="atLeast"/>
        <w:rPr>
          <w:rFonts w:ascii="Verdana" w:hAnsi="Verdana" w:cs="Open Sans"/>
        </w:rPr>
      </w:pPr>
      <w:r w:rsidRPr="0069654B">
        <w:rPr>
          <w:rFonts w:ascii="Verdana" w:hAnsi="Verdana" w:cs="Open Sans"/>
        </w:rPr>
        <w:t>da 5 a 50 (tolleranza 9%)</w:t>
      </w:r>
    </w:p>
    <w:p w14:paraId="26DA7272" w14:textId="77777777" w:rsidR="003F056B" w:rsidRPr="0069654B" w:rsidRDefault="003F056B" w:rsidP="003F056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75" w:lineRule="atLeast"/>
        <w:rPr>
          <w:rFonts w:ascii="Verdana" w:hAnsi="Verdana" w:cs="Open Sans"/>
        </w:rPr>
      </w:pPr>
      <w:r w:rsidRPr="0069654B">
        <w:rPr>
          <w:rFonts w:ascii="Verdana" w:hAnsi="Verdana" w:cs="Open Sans"/>
        </w:rPr>
        <w:t>oltre 50 fino a 100 (tolleranza 4,5 g o ml)</w:t>
      </w:r>
    </w:p>
    <w:p w14:paraId="40967DD8" w14:textId="0BDA81CC" w:rsidR="00EA0A3C" w:rsidRPr="0069654B" w:rsidRDefault="003F056B" w:rsidP="00EA0A3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75" w:lineRule="atLeast"/>
        <w:rPr>
          <w:rFonts w:ascii="Verdana" w:hAnsi="Verdana" w:cs="Open Sans"/>
        </w:rPr>
      </w:pPr>
      <w:r w:rsidRPr="0069654B">
        <w:rPr>
          <w:rFonts w:ascii="Verdana" w:hAnsi="Verdana" w:cs="Open Sans"/>
        </w:rPr>
        <w:t>oltre</w:t>
      </w:r>
      <w:r w:rsidR="00EA0A3C" w:rsidRPr="0069654B">
        <w:rPr>
          <w:rFonts w:ascii="Verdana" w:hAnsi="Verdana" w:cs="Open Sans"/>
        </w:rPr>
        <w:t xml:space="preserve"> 100 </w:t>
      </w:r>
      <w:r w:rsidRPr="0069654B">
        <w:rPr>
          <w:rFonts w:ascii="Verdana" w:hAnsi="Verdana" w:cs="Open Sans"/>
        </w:rPr>
        <w:t xml:space="preserve">fino </w:t>
      </w:r>
      <w:r w:rsidR="00EA0A3C" w:rsidRPr="0069654B">
        <w:rPr>
          <w:rFonts w:ascii="Verdana" w:hAnsi="Verdana" w:cs="Open Sans"/>
        </w:rPr>
        <w:t xml:space="preserve">a 200 (tolleranza 4,5 </w:t>
      </w:r>
      <w:r w:rsidRPr="0069654B">
        <w:rPr>
          <w:rFonts w:ascii="Verdana" w:hAnsi="Verdana" w:cs="Open Sans"/>
        </w:rPr>
        <w:t>%</w:t>
      </w:r>
      <w:r w:rsidR="00EA0A3C" w:rsidRPr="0069654B">
        <w:rPr>
          <w:rFonts w:ascii="Verdana" w:hAnsi="Verdana" w:cs="Open Sans"/>
        </w:rPr>
        <w:t>)</w:t>
      </w:r>
    </w:p>
    <w:p w14:paraId="68669CBC" w14:textId="163659BD" w:rsidR="00EA0A3C" w:rsidRPr="0069654B" w:rsidRDefault="003F056B" w:rsidP="00EA0A3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75" w:lineRule="atLeast"/>
        <w:rPr>
          <w:rFonts w:ascii="Verdana" w:hAnsi="Verdana" w:cs="Open Sans"/>
        </w:rPr>
      </w:pPr>
      <w:r w:rsidRPr="0069654B">
        <w:rPr>
          <w:rFonts w:ascii="Verdana" w:hAnsi="Verdana" w:cs="Open Sans"/>
        </w:rPr>
        <w:t>oltre</w:t>
      </w:r>
      <w:r w:rsidR="00EA0A3C" w:rsidRPr="0069654B">
        <w:rPr>
          <w:rFonts w:ascii="Verdana" w:hAnsi="Verdana" w:cs="Open Sans"/>
        </w:rPr>
        <w:t xml:space="preserve"> 200 </w:t>
      </w:r>
      <w:r w:rsidR="00DE542B" w:rsidRPr="0069654B">
        <w:rPr>
          <w:rFonts w:ascii="Verdana" w:hAnsi="Verdana" w:cs="Open Sans"/>
        </w:rPr>
        <w:t>fino a</w:t>
      </w:r>
      <w:r w:rsidR="00EA0A3C" w:rsidRPr="0069654B">
        <w:rPr>
          <w:rFonts w:ascii="Verdana" w:hAnsi="Verdana" w:cs="Open Sans"/>
        </w:rPr>
        <w:t xml:space="preserve"> 300 (tolleranza </w:t>
      </w:r>
      <w:r w:rsidR="00DE542B" w:rsidRPr="0069654B">
        <w:rPr>
          <w:rFonts w:ascii="Verdana" w:hAnsi="Verdana" w:cs="Open Sans"/>
        </w:rPr>
        <w:t>9</w:t>
      </w:r>
      <w:r w:rsidR="00EA0A3C" w:rsidRPr="0069654B">
        <w:rPr>
          <w:rFonts w:ascii="Verdana" w:hAnsi="Verdana" w:cs="Open Sans"/>
        </w:rPr>
        <w:t xml:space="preserve"> </w:t>
      </w:r>
      <w:r w:rsidR="00DE542B" w:rsidRPr="0069654B">
        <w:rPr>
          <w:rFonts w:ascii="Verdana" w:hAnsi="Verdana" w:cs="Open Sans"/>
        </w:rPr>
        <w:t>g o ml</w:t>
      </w:r>
      <w:r w:rsidR="00EA0A3C" w:rsidRPr="0069654B">
        <w:rPr>
          <w:rFonts w:ascii="Verdana" w:hAnsi="Verdana" w:cs="Open Sans"/>
        </w:rPr>
        <w:t>)</w:t>
      </w:r>
    </w:p>
    <w:p w14:paraId="4397CD43" w14:textId="3E70C7F2" w:rsidR="00EA0A3C" w:rsidRPr="0069654B" w:rsidRDefault="00DE542B" w:rsidP="00EA0A3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75" w:lineRule="atLeast"/>
        <w:rPr>
          <w:rFonts w:ascii="Verdana" w:hAnsi="Verdana" w:cs="Open Sans"/>
        </w:rPr>
      </w:pPr>
      <w:r w:rsidRPr="0069654B">
        <w:rPr>
          <w:rFonts w:ascii="Verdana" w:hAnsi="Verdana" w:cs="Open Sans"/>
        </w:rPr>
        <w:t>oltre</w:t>
      </w:r>
      <w:r w:rsidR="00EA0A3C" w:rsidRPr="0069654B">
        <w:rPr>
          <w:rFonts w:ascii="Verdana" w:hAnsi="Verdana" w:cs="Open Sans"/>
        </w:rPr>
        <w:t xml:space="preserve"> 300 </w:t>
      </w:r>
      <w:r w:rsidRPr="0069654B">
        <w:rPr>
          <w:rFonts w:ascii="Verdana" w:hAnsi="Verdana" w:cs="Open Sans"/>
        </w:rPr>
        <w:t xml:space="preserve">fino </w:t>
      </w:r>
      <w:r w:rsidR="00EA0A3C" w:rsidRPr="0069654B">
        <w:rPr>
          <w:rFonts w:ascii="Verdana" w:hAnsi="Verdana" w:cs="Open Sans"/>
        </w:rPr>
        <w:t xml:space="preserve">a 500 (tolleranza </w:t>
      </w:r>
      <w:r w:rsidRPr="0069654B">
        <w:rPr>
          <w:rFonts w:ascii="Verdana" w:hAnsi="Verdana" w:cs="Open Sans"/>
        </w:rPr>
        <w:t>3 %</w:t>
      </w:r>
      <w:r w:rsidR="00EA0A3C" w:rsidRPr="0069654B">
        <w:rPr>
          <w:rFonts w:ascii="Verdana" w:hAnsi="Verdana" w:cs="Open Sans"/>
        </w:rPr>
        <w:t>)</w:t>
      </w:r>
    </w:p>
    <w:p w14:paraId="31AA4B92" w14:textId="0AA9A0D9" w:rsidR="00EA0A3C" w:rsidRPr="0069654B" w:rsidRDefault="00DE542B" w:rsidP="00EA0A3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75" w:lineRule="atLeast"/>
        <w:rPr>
          <w:rFonts w:ascii="Verdana" w:hAnsi="Verdana" w:cs="Open Sans"/>
        </w:rPr>
      </w:pPr>
      <w:r w:rsidRPr="0069654B">
        <w:rPr>
          <w:rFonts w:ascii="Verdana" w:hAnsi="Verdana" w:cs="Open Sans"/>
        </w:rPr>
        <w:t xml:space="preserve">oltre </w:t>
      </w:r>
      <w:r w:rsidR="00EA0A3C" w:rsidRPr="0069654B">
        <w:rPr>
          <w:rFonts w:ascii="Verdana" w:hAnsi="Verdana" w:cs="Open Sans"/>
        </w:rPr>
        <w:t xml:space="preserve">500 </w:t>
      </w:r>
      <w:r w:rsidRPr="0069654B">
        <w:rPr>
          <w:rFonts w:ascii="Verdana" w:hAnsi="Verdana" w:cs="Open Sans"/>
        </w:rPr>
        <w:t xml:space="preserve">fino </w:t>
      </w:r>
      <w:r w:rsidR="00EA0A3C" w:rsidRPr="0069654B">
        <w:rPr>
          <w:rFonts w:ascii="Verdana" w:hAnsi="Verdana" w:cs="Open Sans"/>
        </w:rPr>
        <w:t xml:space="preserve">a 1000 (tolleranza </w:t>
      </w:r>
      <w:r w:rsidRPr="0069654B">
        <w:rPr>
          <w:rFonts w:ascii="Verdana" w:hAnsi="Verdana" w:cs="Open Sans"/>
        </w:rPr>
        <w:t>15 g o ml</w:t>
      </w:r>
      <w:r w:rsidR="00EA0A3C" w:rsidRPr="0069654B">
        <w:rPr>
          <w:rFonts w:ascii="Verdana" w:hAnsi="Verdana" w:cs="Open Sans"/>
        </w:rPr>
        <w:t>)</w:t>
      </w:r>
    </w:p>
    <w:p w14:paraId="6D21FDC6" w14:textId="22C1F7D4" w:rsidR="00EA0A3C" w:rsidRPr="0069654B" w:rsidRDefault="00DE542B" w:rsidP="00EA0A3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75" w:lineRule="atLeast"/>
        <w:rPr>
          <w:rFonts w:ascii="Verdana" w:hAnsi="Verdana" w:cs="Open Sans"/>
        </w:rPr>
      </w:pPr>
      <w:r w:rsidRPr="0069654B">
        <w:rPr>
          <w:rFonts w:ascii="Verdana" w:hAnsi="Verdana" w:cs="Open Sans"/>
        </w:rPr>
        <w:t>oltre</w:t>
      </w:r>
      <w:r w:rsidR="00EA0A3C" w:rsidRPr="0069654B">
        <w:rPr>
          <w:rFonts w:ascii="Verdana" w:hAnsi="Verdana" w:cs="Open Sans"/>
        </w:rPr>
        <w:t xml:space="preserve"> 1000 </w:t>
      </w:r>
      <w:r w:rsidRPr="0069654B">
        <w:rPr>
          <w:rFonts w:ascii="Verdana" w:hAnsi="Verdana" w:cs="Open Sans"/>
        </w:rPr>
        <w:t xml:space="preserve">fino </w:t>
      </w:r>
      <w:r w:rsidR="00EA0A3C" w:rsidRPr="0069654B">
        <w:rPr>
          <w:rFonts w:ascii="Verdana" w:hAnsi="Verdana" w:cs="Open Sans"/>
        </w:rPr>
        <w:t>a 10.000 (tolleranza 1,5%)</w:t>
      </w:r>
    </w:p>
    <w:p w14:paraId="7ABF03D3" w14:textId="46551420" w:rsidR="00DE542B" w:rsidRPr="0069654B" w:rsidRDefault="00DE542B" w:rsidP="00DE542B">
      <w:pPr>
        <w:pStyle w:val="Titolo3"/>
        <w:shd w:val="clear" w:color="auto" w:fill="FFFFFF"/>
        <w:spacing w:before="0" w:after="225"/>
        <w:rPr>
          <w:rFonts w:ascii="Verdana" w:hAnsi="Verdana"/>
          <w:color w:val="auto"/>
          <w:lang w:eastAsia="it-IT"/>
        </w:rPr>
      </w:pPr>
      <w:r w:rsidRPr="0069654B">
        <w:rPr>
          <w:rFonts w:ascii="Verdana" w:hAnsi="Verdana"/>
          <w:b/>
          <w:bCs/>
          <w:color w:val="auto"/>
        </w:rPr>
        <w:t>Commento</w:t>
      </w:r>
    </w:p>
    <w:p w14:paraId="7D30B29C" w14:textId="77777777" w:rsidR="009012AD" w:rsidRPr="0069654B" w:rsidRDefault="00DE542B" w:rsidP="00DE542B">
      <w:pPr>
        <w:pStyle w:val="Titolo1"/>
        <w:rPr>
          <w:rFonts w:ascii="Verdana" w:hAnsi="Verdana" w:cs="Open Sans"/>
          <w:b w:val="0"/>
          <w:bCs w:val="0"/>
          <w:spacing w:val="2"/>
          <w:sz w:val="24"/>
          <w:szCs w:val="24"/>
        </w:rPr>
      </w:pPr>
      <w:r w:rsidRPr="0069654B">
        <w:rPr>
          <w:rFonts w:ascii="Verdana" w:hAnsi="Verdana" w:cs="Open Sans"/>
          <w:b w:val="0"/>
          <w:bCs w:val="0"/>
          <w:spacing w:val="2"/>
          <w:sz w:val="24"/>
          <w:szCs w:val="24"/>
        </w:rPr>
        <w:t xml:space="preserve">Nel controllo dei prodotti preconfezionati i singoli campioni sono conformi se rispettano le tolleranze come da DPR n. 391/1980. </w:t>
      </w:r>
    </w:p>
    <w:p w14:paraId="6C4D8E0C" w14:textId="39964580" w:rsidR="009012AD" w:rsidRPr="0069654B" w:rsidRDefault="00DE542B" w:rsidP="00DE542B">
      <w:pPr>
        <w:pStyle w:val="Titolo1"/>
        <w:rPr>
          <w:rFonts w:ascii="Verdana" w:hAnsi="Verdana" w:cs="Open Sans"/>
          <w:b w:val="0"/>
          <w:bCs w:val="0"/>
          <w:spacing w:val="2"/>
          <w:sz w:val="24"/>
          <w:szCs w:val="24"/>
        </w:rPr>
      </w:pPr>
      <w:r w:rsidRPr="0069654B">
        <w:rPr>
          <w:rFonts w:ascii="Verdana" w:hAnsi="Verdana" w:cs="Open Sans"/>
          <w:b w:val="0"/>
          <w:bCs w:val="0"/>
          <w:spacing w:val="2"/>
          <w:sz w:val="24"/>
          <w:szCs w:val="24"/>
        </w:rPr>
        <w:t xml:space="preserve">La media delle pesate, per singolo lotto, deve essere uguale o superiore al </w:t>
      </w:r>
      <w:r w:rsidRPr="00C37D9F">
        <w:rPr>
          <w:rFonts w:ascii="Verdana" w:hAnsi="Verdana" w:cs="Open Sans"/>
          <w:spacing w:val="2"/>
          <w:sz w:val="24"/>
          <w:szCs w:val="24"/>
        </w:rPr>
        <w:t>peso o volume nominale dichiarato sulla confezione.</w:t>
      </w:r>
      <w:r w:rsidRPr="0069654B">
        <w:rPr>
          <w:rFonts w:ascii="Verdana" w:hAnsi="Verdana" w:cs="Open Sans"/>
          <w:b w:val="0"/>
          <w:bCs w:val="0"/>
          <w:spacing w:val="2"/>
          <w:sz w:val="24"/>
          <w:szCs w:val="24"/>
        </w:rPr>
        <w:t xml:space="preserve"> </w:t>
      </w:r>
    </w:p>
    <w:p w14:paraId="54F5190A" w14:textId="59CE70CB" w:rsidR="0069654B" w:rsidRPr="0069654B" w:rsidRDefault="0069654B" w:rsidP="0069654B">
      <w:pPr>
        <w:rPr>
          <w:rFonts w:ascii="Verdana" w:hAnsi="Verdana"/>
        </w:rPr>
      </w:pPr>
    </w:p>
    <w:p w14:paraId="3982D6FE" w14:textId="77777777" w:rsidR="00C37D9F" w:rsidRDefault="0069654B" w:rsidP="0069654B">
      <w:pPr>
        <w:rPr>
          <w:rFonts w:ascii="Verdana" w:hAnsi="Verdana"/>
        </w:rPr>
      </w:pPr>
      <w:r w:rsidRPr="0069654B">
        <w:rPr>
          <w:rFonts w:ascii="Verdana" w:hAnsi="Verdana"/>
        </w:rPr>
        <w:t xml:space="preserve">Si definiscono DIFETTOSI i </w:t>
      </w:r>
      <w:r>
        <w:rPr>
          <w:rFonts w:ascii="Verdana" w:hAnsi="Verdana"/>
        </w:rPr>
        <w:t>campioni che superano la tolleran</w:t>
      </w:r>
      <w:r w:rsidR="00C37D9F">
        <w:rPr>
          <w:rFonts w:ascii="Verdana" w:hAnsi="Verdana"/>
        </w:rPr>
        <w:t>z</w:t>
      </w:r>
      <w:r>
        <w:rPr>
          <w:rFonts w:ascii="Verdana" w:hAnsi="Verdana"/>
        </w:rPr>
        <w:t>a,</w:t>
      </w:r>
      <w:r w:rsidR="00C37D9F">
        <w:rPr>
          <w:rFonts w:ascii="Verdana" w:hAnsi="Verdana"/>
        </w:rPr>
        <w:t xml:space="preserve"> mentre sono NON COMMERCIABILI i campioni che superano il doppio della tolleranza.</w:t>
      </w:r>
    </w:p>
    <w:p w14:paraId="7551CEB6" w14:textId="77777777" w:rsidR="00C37D9F" w:rsidRDefault="00C37D9F" w:rsidP="0069654B">
      <w:pPr>
        <w:rPr>
          <w:rFonts w:ascii="Verdana" w:hAnsi="Verdana"/>
        </w:rPr>
      </w:pPr>
    </w:p>
    <w:p w14:paraId="31F04334" w14:textId="388519AF" w:rsidR="00C37D9F" w:rsidRDefault="00C37D9F" w:rsidP="0069654B">
      <w:pPr>
        <w:rPr>
          <w:rFonts w:ascii="Verdana" w:hAnsi="Verdana"/>
        </w:rPr>
      </w:pPr>
      <w:r>
        <w:rPr>
          <w:rFonts w:ascii="Verdana" w:hAnsi="Verdana"/>
        </w:rPr>
        <w:t>In base alla numerosità del lotto si effettuano delle pesate.</w:t>
      </w:r>
    </w:p>
    <w:p w14:paraId="65371BC0" w14:textId="77777777" w:rsidR="00C37D9F" w:rsidRDefault="00C37D9F" w:rsidP="0069654B">
      <w:pPr>
        <w:rPr>
          <w:rFonts w:ascii="Verdana" w:hAnsi="Verdana"/>
        </w:rPr>
      </w:pPr>
    </w:p>
    <w:p w14:paraId="21189104" w14:textId="2BC5939E" w:rsidR="00C37D9F" w:rsidRDefault="00C37D9F" w:rsidP="0069654B">
      <w:pPr>
        <w:rPr>
          <w:rFonts w:ascii="Verdana" w:hAnsi="Verdana"/>
        </w:rPr>
      </w:pPr>
      <w:r>
        <w:rPr>
          <w:rFonts w:ascii="Verdana" w:hAnsi="Verdana"/>
        </w:rPr>
        <w:t>Il controllo può essere del tipo “non distruttivo” o “distruttivo”.</w:t>
      </w:r>
    </w:p>
    <w:p w14:paraId="3802A15B" w14:textId="77777777" w:rsidR="00C37D9F" w:rsidRDefault="00C37D9F" w:rsidP="0069654B">
      <w:pPr>
        <w:rPr>
          <w:rFonts w:ascii="Verdana" w:hAnsi="Verdana"/>
        </w:rPr>
      </w:pPr>
    </w:p>
    <w:p w14:paraId="6A737CA4" w14:textId="166BE61D" w:rsidR="00C37D9F" w:rsidRDefault="00C37D9F" w:rsidP="0069654B">
      <w:pPr>
        <w:rPr>
          <w:rFonts w:ascii="Verdana" w:hAnsi="Verdana"/>
        </w:rPr>
      </w:pPr>
      <w:r>
        <w:rPr>
          <w:rFonts w:ascii="Verdana" w:hAnsi="Verdana"/>
        </w:rPr>
        <w:t>Per il controllo “non distruttivo” sono previste: 30 pesate (da 100 a 500 pz); 50 pesate (da 501 a 3200 pz); 80 pesate (oltre 320</w:t>
      </w:r>
      <w:r w:rsidR="00600172">
        <w:rPr>
          <w:rFonts w:ascii="Verdana" w:hAnsi="Verdana"/>
        </w:rPr>
        <w:t>1 pz).</w:t>
      </w:r>
    </w:p>
    <w:p w14:paraId="66F28C4B" w14:textId="77777777" w:rsidR="00C37D9F" w:rsidRDefault="00C37D9F" w:rsidP="0069654B">
      <w:pPr>
        <w:rPr>
          <w:rFonts w:ascii="Verdana" w:hAnsi="Verdana"/>
        </w:rPr>
      </w:pPr>
    </w:p>
    <w:p w14:paraId="5FCA059E" w14:textId="1F529A33" w:rsidR="0069654B" w:rsidRPr="0069654B" w:rsidRDefault="00C37D9F" w:rsidP="0069654B">
      <w:pPr>
        <w:rPr>
          <w:rFonts w:ascii="Verdana" w:hAnsi="Verdana"/>
        </w:rPr>
      </w:pPr>
      <w:r>
        <w:rPr>
          <w:rFonts w:ascii="Verdana" w:hAnsi="Verdana"/>
        </w:rPr>
        <w:t>Per il controllo “distruttivo” sono previste: 20 pesate.</w:t>
      </w:r>
      <w:r w:rsidR="0069654B">
        <w:rPr>
          <w:rFonts w:ascii="Verdana" w:hAnsi="Verdana"/>
        </w:rPr>
        <w:t xml:space="preserve"> </w:t>
      </w:r>
    </w:p>
    <w:p w14:paraId="74D0FE0B" w14:textId="50411849" w:rsidR="00EA0A3C" w:rsidRPr="0069654B" w:rsidRDefault="00DE542B" w:rsidP="00DE542B">
      <w:pPr>
        <w:pStyle w:val="Titolo1"/>
        <w:rPr>
          <w:rFonts w:ascii="Verdana" w:hAnsi="Verdana" w:cs="Open Sans"/>
          <w:b w:val="0"/>
          <w:bCs w:val="0"/>
          <w:spacing w:val="2"/>
          <w:sz w:val="24"/>
          <w:szCs w:val="24"/>
        </w:rPr>
      </w:pPr>
      <w:r w:rsidRPr="0069654B">
        <w:rPr>
          <w:rFonts w:ascii="Verdana" w:hAnsi="Verdana" w:cs="Open Sans"/>
          <w:b w:val="0"/>
          <w:bCs w:val="0"/>
          <w:spacing w:val="2"/>
          <w:sz w:val="24"/>
          <w:szCs w:val="24"/>
        </w:rPr>
        <w:t>Gli alimenti preconfezionati devono rispettare</w:t>
      </w:r>
      <w:r w:rsidR="009012AD" w:rsidRPr="0069654B">
        <w:rPr>
          <w:rFonts w:ascii="Verdana" w:hAnsi="Verdana" w:cs="Open Sans"/>
          <w:b w:val="0"/>
          <w:bCs w:val="0"/>
          <w:spacing w:val="2"/>
          <w:sz w:val="24"/>
          <w:szCs w:val="24"/>
        </w:rPr>
        <w:t xml:space="preserve"> quanto sopra riportato.</w:t>
      </w:r>
    </w:p>
    <w:p w14:paraId="7970E9E6" w14:textId="7BCA12B7" w:rsidR="009012AD" w:rsidRPr="0069654B" w:rsidRDefault="009012AD" w:rsidP="009012AD">
      <w:pPr>
        <w:rPr>
          <w:rFonts w:ascii="Verdana" w:hAnsi="Verdana"/>
        </w:rPr>
      </w:pPr>
    </w:p>
    <w:p w14:paraId="123CE18E" w14:textId="0AE74984" w:rsidR="009012AD" w:rsidRPr="0069654B" w:rsidRDefault="009012AD" w:rsidP="009012AD">
      <w:pPr>
        <w:rPr>
          <w:rFonts w:ascii="Verdana" w:hAnsi="Verdana"/>
        </w:rPr>
      </w:pPr>
      <w:r w:rsidRPr="0069654B">
        <w:rPr>
          <w:rFonts w:ascii="Verdana" w:hAnsi="Verdana"/>
        </w:rPr>
        <w:t>Emiliano Feller</w:t>
      </w:r>
    </w:p>
    <w:p w14:paraId="65FBFD21" w14:textId="57BE4867" w:rsidR="009012AD" w:rsidRPr="0069654B" w:rsidRDefault="009012AD" w:rsidP="009012AD">
      <w:pPr>
        <w:rPr>
          <w:rFonts w:ascii="Verdana" w:hAnsi="Verdana"/>
        </w:rPr>
      </w:pPr>
      <w:r w:rsidRPr="0069654B">
        <w:rPr>
          <w:rFonts w:ascii="Verdana" w:hAnsi="Verdana"/>
        </w:rPr>
        <w:t>Aggiornamento: 04.03.2023</w:t>
      </w:r>
    </w:p>
    <w:p w14:paraId="621CD035" w14:textId="1FA2A0BA" w:rsidR="00EA0A3C" w:rsidRPr="009012AD" w:rsidRDefault="009012AD" w:rsidP="009012AD">
      <w:pPr>
        <w:pStyle w:val="Titolo1"/>
        <w:jc w:val="right"/>
        <w:rPr>
          <w:rFonts w:ascii="Arial" w:hAnsi="Arial" w:cs="Arial"/>
          <w:sz w:val="36"/>
          <w:szCs w:val="36"/>
          <w:highlight w:val="yellow"/>
        </w:rPr>
      </w:pPr>
      <w:r>
        <w:rPr>
          <w:noProof/>
          <w:lang w:eastAsia="it-IT"/>
        </w:rPr>
        <w:drawing>
          <wp:inline distT="0" distB="0" distL="0" distR="0" wp14:anchorId="3CFCC362" wp14:editId="6A3619B5">
            <wp:extent cx="1771650" cy="1527651"/>
            <wp:effectExtent l="0" t="0" r="0" b="0"/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01" cy="15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A3C" w:rsidRPr="00901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4FFF" w14:textId="77777777" w:rsidR="00084F8F" w:rsidRDefault="00084F8F" w:rsidP="00111559">
      <w:r>
        <w:separator/>
      </w:r>
    </w:p>
  </w:endnote>
  <w:endnote w:type="continuationSeparator" w:id="0">
    <w:p w14:paraId="0DB697E8" w14:textId="77777777" w:rsidR="00084F8F" w:rsidRDefault="00084F8F" w:rsidP="001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4564" w14:textId="77777777" w:rsidR="00600172" w:rsidRDefault="006001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F046" w14:textId="77777777" w:rsidR="00111559" w:rsidRPr="00600172" w:rsidRDefault="00111559" w:rsidP="00111559">
    <w:pPr>
      <w:rPr>
        <w:rFonts w:ascii="Arial" w:hAnsi="Arial" w:cs="Arial"/>
        <w:b/>
        <w:bCs/>
        <w:sz w:val="20"/>
        <w:szCs w:val="20"/>
      </w:rPr>
    </w:pPr>
    <w:r w:rsidRPr="00600172">
      <w:rPr>
        <w:rFonts w:ascii="Arial" w:eastAsiaTheme="majorEastAsia" w:hAnsi="Arial" w:cs="Arial"/>
        <w:b/>
        <w:bCs/>
        <w:sz w:val="20"/>
        <w:szCs w:val="20"/>
        <w:highlight w:val="lightGray"/>
      </w:rPr>
      <w:t>STUDIO BRANDOLESE</w:t>
    </w:r>
    <w:r w:rsidRPr="00600172">
      <w:rPr>
        <w:rFonts w:asciiTheme="majorHAnsi" w:eastAsiaTheme="majorEastAsia" w:hAnsiTheme="majorHAnsi" w:cstheme="majorBidi"/>
        <w:b/>
        <w:bCs/>
        <w:sz w:val="20"/>
        <w:szCs w:val="20"/>
        <w:highlight w:val="lightGray"/>
      </w:rPr>
      <w:t xml:space="preserve"> - </w:t>
    </w:r>
    <w:r w:rsidRPr="00600172">
      <w:rPr>
        <w:rFonts w:ascii="Arial" w:hAnsi="Arial" w:cs="Arial"/>
        <w:b/>
        <w:bCs/>
        <w:sz w:val="20"/>
        <w:szCs w:val="20"/>
        <w:highlight w:val="lightGray"/>
      </w:rPr>
      <w:t>335.6948632 – 348.9688787</w:t>
    </w:r>
    <w:r w:rsidRPr="00600172">
      <w:rPr>
        <w:rFonts w:asciiTheme="majorHAnsi" w:eastAsiaTheme="majorEastAsia" w:hAnsiTheme="majorHAnsi" w:cstheme="majorBidi"/>
        <w:b/>
        <w:bCs/>
        <w:sz w:val="20"/>
        <w:szCs w:val="20"/>
        <w:highlight w:val="lightGray"/>
      </w:rPr>
      <w:ptab w:relativeTo="margin" w:alignment="right" w:leader="none"/>
    </w:r>
    <w:r w:rsidRPr="00600172">
      <w:rPr>
        <w:rFonts w:asciiTheme="majorHAnsi" w:eastAsiaTheme="majorEastAsia" w:hAnsiTheme="majorHAnsi" w:cstheme="majorBidi"/>
        <w:b/>
        <w:bCs/>
        <w:sz w:val="20"/>
        <w:szCs w:val="20"/>
        <w:highlight w:val="lightGray"/>
      </w:rPr>
      <w:t xml:space="preserve">Pag. </w:t>
    </w:r>
    <w:r w:rsidRPr="00600172">
      <w:rPr>
        <w:rFonts w:asciiTheme="minorHAnsi" w:eastAsiaTheme="minorEastAsia" w:hAnsiTheme="minorHAnsi" w:cstheme="minorBidi"/>
        <w:b/>
        <w:bCs/>
        <w:sz w:val="20"/>
        <w:szCs w:val="20"/>
        <w:highlight w:val="lightGray"/>
      </w:rPr>
      <w:fldChar w:fldCharType="begin"/>
    </w:r>
    <w:r w:rsidRPr="00600172">
      <w:rPr>
        <w:b/>
        <w:bCs/>
        <w:sz w:val="20"/>
        <w:szCs w:val="20"/>
        <w:highlight w:val="lightGray"/>
      </w:rPr>
      <w:instrText>PAGE   \* MERGEFORMAT</w:instrText>
    </w:r>
    <w:r w:rsidRPr="00600172">
      <w:rPr>
        <w:rFonts w:asciiTheme="minorHAnsi" w:eastAsiaTheme="minorEastAsia" w:hAnsiTheme="minorHAnsi" w:cstheme="minorBidi"/>
        <w:b/>
        <w:bCs/>
        <w:sz w:val="20"/>
        <w:szCs w:val="20"/>
        <w:highlight w:val="lightGray"/>
      </w:rPr>
      <w:fldChar w:fldCharType="separate"/>
    </w:r>
    <w:r w:rsidR="00386487" w:rsidRPr="00600172">
      <w:rPr>
        <w:rFonts w:asciiTheme="majorHAnsi" w:eastAsiaTheme="majorEastAsia" w:hAnsiTheme="majorHAnsi" w:cstheme="majorBidi"/>
        <w:b/>
        <w:bCs/>
        <w:noProof/>
        <w:sz w:val="20"/>
        <w:szCs w:val="20"/>
        <w:highlight w:val="lightGray"/>
      </w:rPr>
      <w:t>2</w:t>
    </w:r>
    <w:r w:rsidRPr="00600172">
      <w:rPr>
        <w:rFonts w:asciiTheme="majorHAnsi" w:eastAsiaTheme="majorEastAsia" w:hAnsiTheme="majorHAnsi" w:cstheme="majorBidi"/>
        <w:b/>
        <w:bCs/>
        <w:sz w:val="20"/>
        <w:szCs w:val="20"/>
        <w:highlight w:val="lightGray"/>
      </w:rPr>
      <w:fldChar w:fldCharType="end"/>
    </w:r>
  </w:p>
  <w:p w14:paraId="2BE27D28" w14:textId="77777777" w:rsidR="00111559" w:rsidRDefault="001115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263" w14:textId="77777777" w:rsidR="00600172" w:rsidRDefault="006001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4025" w14:textId="77777777" w:rsidR="00084F8F" w:rsidRDefault="00084F8F" w:rsidP="00111559">
      <w:r>
        <w:separator/>
      </w:r>
    </w:p>
  </w:footnote>
  <w:footnote w:type="continuationSeparator" w:id="0">
    <w:p w14:paraId="3799A7D7" w14:textId="77777777" w:rsidR="00084F8F" w:rsidRDefault="00084F8F" w:rsidP="0011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BDC7" w14:textId="77777777" w:rsidR="00600172" w:rsidRDefault="006001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57D" w14:textId="77777777" w:rsidR="00600172" w:rsidRDefault="006001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8C9" w14:textId="77777777" w:rsidR="00600172" w:rsidRDefault="006001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8B8"/>
    <w:multiLevelType w:val="multilevel"/>
    <w:tmpl w:val="6EC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C6A9F"/>
    <w:multiLevelType w:val="hybridMultilevel"/>
    <w:tmpl w:val="2858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D7622"/>
    <w:multiLevelType w:val="hybridMultilevel"/>
    <w:tmpl w:val="8032A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53615">
    <w:abstractNumId w:val="1"/>
  </w:num>
  <w:num w:numId="2" w16cid:durableId="160976775">
    <w:abstractNumId w:val="2"/>
  </w:num>
  <w:num w:numId="3" w16cid:durableId="86822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74"/>
    <w:rsid w:val="00084F8F"/>
    <w:rsid w:val="00111559"/>
    <w:rsid w:val="001C24C1"/>
    <w:rsid w:val="001D04F9"/>
    <w:rsid w:val="00206857"/>
    <w:rsid w:val="00207349"/>
    <w:rsid w:val="00334C36"/>
    <w:rsid w:val="00352574"/>
    <w:rsid w:val="00386487"/>
    <w:rsid w:val="003F056B"/>
    <w:rsid w:val="004A1497"/>
    <w:rsid w:val="00522E0C"/>
    <w:rsid w:val="005501F1"/>
    <w:rsid w:val="005A45D7"/>
    <w:rsid w:val="005B3920"/>
    <w:rsid w:val="00600172"/>
    <w:rsid w:val="00605D2A"/>
    <w:rsid w:val="00631F08"/>
    <w:rsid w:val="00682D12"/>
    <w:rsid w:val="0069654B"/>
    <w:rsid w:val="00697DA9"/>
    <w:rsid w:val="006D0011"/>
    <w:rsid w:val="006E2968"/>
    <w:rsid w:val="00706C0A"/>
    <w:rsid w:val="007A50A6"/>
    <w:rsid w:val="008270AF"/>
    <w:rsid w:val="008449E1"/>
    <w:rsid w:val="00847AEB"/>
    <w:rsid w:val="00860019"/>
    <w:rsid w:val="009012AD"/>
    <w:rsid w:val="009E3248"/>
    <w:rsid w:val="00A15B47"/>
    <w:rsid w:val="00A53AA4"/>
    <w:rsid w:val="00C37D9F"/>
    <w:rsid w:val="00D57DFE"/>
    <w:rsid w:val="00DE542B"/>
    <w:rsid w:val="00E244DC"/>
    <w:rsid w:val="00E8681A"/>
    <w:rsid w:val="00EA0A3C"/>
    <w:rsid w:val="00EC7BDE"/>
    <w:rsid w:val="00F47450"/>
    <w:rsid w:val="00F819F7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FEE38"/>
  <w15:docId w15:val="{00A556FC-4339-405D-A8A0-E973B0B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525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0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0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257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unhideWhenUsed/>
    <w:rsid w:val="003525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04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59"/>
    <w:rPr>
      <w:rFonts w:ascii="Tahoma" w:eastAsia="Times New Roman" w:hAnsi="Tahoma" w:cs="Tahoma"/>
      <w:sz w:val="16"/>
      <w:szCs w:val="1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3AA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0A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0A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EA0A3C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EA0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6FE8-45C6-479C-88E7-0CC15C5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 Brandolese</cp:lastModifiedBy>
  <cp:revision>5</cp:revision>
  <cp:lastPrinted>2021-02-21T09:13:00Z</cp:lastPrinted>
  <dcterms:created xsi:type="dcterms:W3CDTF">2023-03-05T09:25:00Z</dcterms:created>
  <dcterms:modified xsi:type="dcterms:W3CDTF">2023-03-05T10:23:00Z</dcterms:modified>
</cp:coreProperties>
</file>